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28"/>
          <w:szCs w:val="28"/>
        </w:rPr>
      </w:pPr>
      <w:r>
        <w:rPr>
          <w:rFonts w:hint="eastAsia" w:ascii="宋体" w:hAnsi="宋体" w:eastAsia="宋体" w:cs="宋体"/>
          <w:b/>
          <w:sz w:val="28"/>
          <w:szCs w:val="28"/>
          <w:lang w:val="en-US" w:eastAsia="zh-CN"/>
        </w:rPr>
        <w:t>公共管理学院顺利举办</w:t>
      </w:r>
      <w:r>
        <w:rPr>
          <w:rFonts w:hint="eastAsia" w:ascii="宋体" w:hAnsi="宋体" w:eastAsia="宋体" w:cs="宋体"/>
          <w:b/>
          <w:sz w:val="28"/>
          <w:szCs w:val="28"/>
        </w:rPr>
        <w:t>领导力和人才测评系列讲座</w:t>
      </w:r>
    </w:p>
    <w:p>
      <w:pPr>
        <w:jc w:val="center"/>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（通讯员 丁冉）为</w:t>
      </w:r>
      <w:r>
        <w:rPr>
          <w:rFonts w:hint="eastAsia" w:ascii="宋体" w:hAnsi="宋体" w:eastAsia="宋体" w:cs="宋体"/>
          <w:sz w:val="21"/>
          <w:szCs w:val="21"/>
          <w:lang w:val="en-US" w:eastAsia="zh-CN"/>
        </w:rPr>
        <w:t>提升</w:t>
      </w:r>
      <w:r>
        <w:rPr>
          <w:rFonts w:hint="eastAsia" w:ascii="宋体" w:hAnsi="宋体" w:eastAsia="宋体" w:cs="宋体"/>
          <w:sz w:val="21"/>
          <w:szCs w:val="21"/>
        </w:rPr>
        <w:t>研究生专业素质和职业素养，公共管理学院于10月19日和20日邀请专家在文泉楼北303教室举办领导力和人才测评系列讲座，讲座分别以“领导力提升和领导角色认知与转换”</w:t>
      </w:r>
      <w:r>
        <w:rPr>
          <w:rFonts w:hint="eastAsia" w:ascii="宋体" w:hAnsi="宋体" w:eastAsia="宋体" w:cs="宋体"/>
          <w:sz w:val="21"/>
          <w:szCs w:val="21"/>
          <w:lang w:eastAsia="zh-CN"/>
        </w:rPr>
        <w:t>、</w:t>
      </w:r>
      <w:r>
        <w:rPr>
          <w:rFonts w:hint="eastAsia" w:ascii="宋体" w:hAnsi="宋体" w:eastAsia="宋体" w:cs="宋体"/>
          <w:sz w:val="21"/>
          <w:szCs w:val="21"/>
        </w:rPr>
        <w:t>“人才测评的发展与前沿”为主题，并邀请到中央党校党建教研部胡月星教授</w:t>
      </w:r>
      <w:r>
        <w:rPr>
          <w:rFonts w:hint="eastAsia" w:ascii="宋体" w:hAnsi="宋体" w:eastAsia="宋体" w:cs="宋体"/>
          <w:sz w:val="21"/>
          <w:szCs w:val="21"/>
          <w:lang w:eastAsia="zh-CN"/>
        </w:rPr>
        <w:t>，</w:t>
      </w:r>
      <w:r>
        <w:rPr>
          <w:rFonts w:hint="eastAsia" w:ascii="宋体" w:hAnsi="宋体" w:eastAsia="宋体" w:cs="宋体"/>
          <w:sz w:val="21"/>
          <w:szCs w:val="21"/>
        </w:rPr>
        <w:t>辽宁师范大学政治与行政学院孙立樵教授和北京大学人力资源开发与管理研究中心萧鸣政教授参加。讲座由公共管理学院副院长张广科教授主持，</w:t>
      </w:r>
      <w:r>
        <w:rPr>
          <w:rFonts w:hint="eastAsia" w:ascii="宋体" w:hAnsi="宋体" w:eastAsia="宋体" w:cs="宋体"/>
          <w:sz w:val="21"/>
          <w:szCs w:val="21"/>
          <w:lang w:val="en-US" w:eastAsia="zh-CN"/>
        </w:rPr>
        <w:t>20</w:t>
      </w:r>
      <w:r>
        <w:rPr>
          <w:rFonts w:hint="eastAsia" w:ascii="宋体" w:hAnsi="宋体" w:eastAsia="宋体" w:cs="宋体"/>
          <w:sz w:val="21"/>
          <w:szCs w:val="21"/>
        </w:rPr>
        <w:t>18级和</w:t>
      </w:r>
      <w:r>
        <w:rPr>
          <w:rFonts w:hint="eastAsia" w:ascii="宋体" w:hAnsi="宋体" w:eastAsia="宋体" w:cs="宋体"/>
          <w:sz w:val="21"/>
          <w:szCs w:val="21"/>
          <w:lang w:val="en-US" w:eastAsia="zh-CN"/>
        </w:rPr>
        <w:t>20</w:t>
      </w:r>
      <w:r>
        <w:rPr>
          <w:rFonts w:hint="eastAsia" w:ascii="宋体" w:hAnsi="宋体" w:eastAsia="宋体" w:cs="宋体"/>
          <w:sz w:val="21"/>
          <w:szCs w:val="21"/>
        </w:rPr>
        <w:t>19级研究生参加。</w:t>
      </w:r>
    </w:p>
    <w:p>
      <w:pPr>
        <w:rPr>
          <w:rFonts w:hint="eastAsia" w:ascii="宋体" w:hAnsi="宋体" w:eastAsia="宋体" w:cs="宋体"/>
          <w:sz w:val="21"/>
          <w:szCs w:val="21"/>
        </w:rPr>
      </w:pP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58240" behindDoc="0" locked="0" layoutInCell="1" allowOverlap="1">
            <wp:simplePos x="0" y="0"/>
            <wp:positionH relativeFrom="column">
              <wp:posOffset>66675</wp:posOffset>
            </wp:positionH>
            <wp:positionV relativeFrom="paragraph">
              <wp:posOffset>78105</wp:posOffset>
            </wp:positionV>
            <wp:extent cx="5013325" cy="2913380"/>
            <wp:effectExtent l="0" t="0" r="15875" b="1270"/>
            <wp:wrapTopAndBottom/>
            <wp:docPr id="1" name="图片 1" descr="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405.JPG"/>
                    <pic:cNvPicPr>
                      <a:picLocks noChangeAspect="1" noChangeArrowheads="1"/>
                    </pic:cNvPicPr>
                  </pic:nvPicPr>
                  <pic:blipFill>
                    <a:blip r:embed="rId4">
                      <a:extLst>
                        <a:ext uri="{28A0092B-C50C-407E-A947-70E740481C1C}">
                          <a14:useLocalDpi xmlns:a14="http://schemas.microsoft.com/office/drawing/2010/main" val="0"/>
                        </a:ext>
                      </a:extLst>
                    </a:blip>
                    <a:srcRect t="22457"/>
                    <a:stretch>
                      <a:fillRect/>
                    </a:stretch>
                  </pic:blipFill>
                  <pic:spPr>
                    <a:xfrm>
                      <a:off x="0" y="0"/>
                      <a:ext cx="5013325" cy="29133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“领导力提升和领导角色认知与转换”讲座由胡月星教授和孙立樵教授</w:t>
      </w:r>
      <w:r>
        <w:rPr>
          <w:rFonts w:hint="eastAsia" w:ascii="宋体" w:hAnsi="宋体" w:eastAsia="宋体" w:cs="宋体"/>
          <w:color w:val="auto"/>
          <w:sz w:val="21"/>
          <w:szCs w:val="21"/>
        </w:rPr>
        <w:t>带来精彩</w:t>
      </w:r>
      <w:r>
        <w:rPr>
          <w:rFonts w:hint="eastAsia" w:ascii="宋体" w:hAnsi="宋体" w:eastAsia="宋体" w:cs="宋体"/>
          <w:color w:val="auto"/>
          <w:sz w:val="21"/>
          <w:szCs w:val="21"/>
          <w:lang w:val="en-US" w:eastAsia="zh-CN"/>
        </w:rPr>
        <w:t>内容</w:t>
      </w:r>
      <w:r>
        <w:rPr>
          <w:rFonts w:hint="eastAsia" w:ascii="宋体" w:hAnsi="宋体" w:eastAsia="宋体" w:cs="宋体"/>
          <w:color w:val="auto"/>
          <w:sz w:val="21"/>
          <w:szCs w:val="21"/>
        </w:rPr>
        <w:t>。</w:t>
      </w:r>
      <w:r>
        <w:rPr>
          <w:rFonts w:hint="eastAsia" w:ascii="宋体" w:hAnsi="宋体" w:eastAsia="宋体" w:cs="宋体"/>
          <w:sz w:val="21"/>
          <w:szCs w:val="21"/>
        </w:rPr>
        <w:t>讲座伊始，胡月星教授围绕“如何提升领导力”和“提升领导力需要心理资本“两个方面对领导力展开讲解</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他提出</w:t>
      </w:r>
      <w:r>
        <w:rPr>
          <w:rFonts w:hint="eastAsia" w:ascii="宋体" w:hAnsi="宋体" w:eastAsia="宋体" w:cs="宋体"/>
          <w:sz w:val="21"/>
          <w:szCs w:val="21"/>
        </w:rPr>
        <w:t>领导力的本质是影响力，</w:t>
      </w:r>
      <w:r>
        <w:rPr>
          <w:rFonts w:hint="eastAsia" w:ascii="宋体" w:hAnsi="宋体" w:eastAsia="宋体" w:cs="宋体"/>
          <w:sz w:val="21"/>
          <w:szCs w:val="21"/>
          <w:lang w:val="en-US" w:eastAsia="zh-CN"/>
        </w:rPr>
        <w:t>其</w:t>
      </w:r>
      <w:r>
        <w:rPr>
          <w:rFonts w:hint="eastAsia" w:ascii="宋体" w:hAnsi="宋体" w:eastAsia="宋体" w:cs="宋体"/>
          <w:sz w:val="21"/>
          <w:szCs w:val="21"/>
        </w:rPr>
        <w:t>通过领导者和追随者</w:t>
      </w:r>
      <w:r>
        <w:rPr>
          <w:rFonts w:hint="eastAsia" w:ascii="宋体" w:hAnsi="宋体" w:eastAsia="宋体" w:cs="宋体"/>
          <w:sz w:val="21"/>
          <w:szCs w:val="21"/>
          <w:lang w:val="en-US" w:eastAsia="zh-CN"/>
        </w:rPr>
        <w:t>之间</w:t>
      </w:r>
      <w:r>
        <w:rPr>
          <w:rFonts w:hint="eastAsia" w:ascii="宋体" w:hAnsi="宋体" w:eastAsia="宋体" w:cs="宋体"/>
          <w:sz w:val="21"/>
          <w:szCs w:val="21"/>
        </w:rPr>
        <w:t>互相影响</w:t>
      </w:r>
      <w:r>
        <w:rPr>
          <w:rFonts w:hint="eastAsia" w:ascii="宋体" w:hAnsi="宋体" w:eastAsia="宋体" w:cs="宋体"/>
          <w:sz w:val="21"/>
          <w:szCs w:val="21"/>
          <w:lang w:val="en-US" w:eastAsia="zh-CN"/>
        </w:rPr>
        <w:t>的</w:t>
      </w:r>
      <w:r>
        <w:rPr>
          <w:rFonts w:hint="eastAsia" w:ascii="宋体" w:hAnsi="宋体" w:eastAsia="宋体" w:cs="宋体"/>
          <w:sz w:val="21"/>
          <w:szCs w:val="21"/>
        </w:rPr>
        <w:t>过程与结果</w:t>
      </w:r>
      <w:r>
        <w:rPr>
          <w:rFonts w:hint="eastAsia" w:ascii="宋体" w:hAnsi="宋体" w:eastAsia="宋体" w:cs="宋体"/>
          <w:sz w:val="21"/>
          <w:szCs w:val="21"/>
          <w:lang w:eastAsia="zh-CN"/>
        </w:rPr>
        <w:t>、</w:t>
      </w:r>
      <w:r>
        <w:rPr>
          <w:rFonts w:hint="eastAsia" w:ascii="宋体" w:hAnsi="宋体" w:eastAsia="宋体" w:cs="宋体"/>
          <w:sz w:val="21"/>
          <w:szCs w:val="21"/>
        </w:rPr>
        <w:t>领导者的性格特征与行为和追随者的认知</w:t>
      </w:r>
      <w:r>
        <w:rPr>
          <w:rFonts w:hint="eastAsia" w:ascii="宋体" w:hAnsi="宋体" w:eastAsia="宋体" w:cs="宋体"/>
          <w:sz w:val="21"/>
          <w:szCs w:val="21"/>
          <w:lang w:val="en-US" w:eastAsia="zh-CN"/>
        </w:rPr>
        <w:t>与</w:t>
      </w:r>
      <w:r>
        <w:rPr>
          <w:rFonts w:hint="eastAsia" w:ascii="宋体" w:hAnsi="宋体" w:eastAsia="宋体" w:cs="宋体"/>
          <w:sz w:val="21"/>
          <w:szCs w:val="21"/>
        </w:rPr>
        <w:t>特质来确定。同时</w:t>
      </w:r>
      <w:r>
        <w:rPr>
          <w:rFonts w:hint="eastAsia" w:ascii="宋体" w:hAnsi="宋体" w:eastAsia="宋体" w:cs="宋体"/>
          <w:sz w:val="21"/>
          <w:szCs w:val="21"/>
          <w:lang w:val="en-US" w:eastAsia="zh-CN"/>
        </w:rPr>
        <w:t>胡教授</w:t>
      </w:r>
      <w:r>
        <w:rPr>
          <w:rFonts w:hint="eastAsia" w:ascii="宋体" w:hAnsi="宋体" w:eastAsia="宋体" w:cs="宋体"/>
          <w:sz w:val="21"/>
          <w:szCs w:val="21"/>
        </w:rPr>
        <w:t>指出，领导力体现在“六个心“</w:t>
      </w:r>
      <w:r>
        <w:rPr>
          <w:rFonts w:hint="eastAsia" w:ascii="宋体" w:hAnsi="宋体" w:eastAsia="宋体" w:cs="宋体"/>
          <w:sz w:val="21"/>
          <w:szCs w:val="21"/>
          <w:lang w:eastAsia="zh-CN"/>
        </w:rPr>
        <w:t>：</w:t>
      </w:r>
      <w:r>
        <w:rPr>
          <w:rFonts w:hint="eastAsia" w:ascii="宋体" w:hAnsi="宋体" w:eastAsia="宋体" w:cs="宋体"/>
          <w:sz w:val="21"/>
          <w:szCs w:val="21"/>
        </w:rPr>
        <w:t>关爱心、理解心、同情心、感恩心、事业心和敬畏心，在领导过程中，哪一个</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心</w:t>
      </w:r>
      <w:r>
        <w:rPr>
          <w:rFonts w:hint="eastAsia" w:ascii="宋体" w:hAnsi="宋体" w:eastAsia="宋体" w:cs="宋体"/>
          <w:sz w:val="21"/>
          <w:szCs w:val="21"/>
          <w:lang w:eastAsia="zh-CN"/>
        </w:rPr>
        <w:t>”</w:t>
      </w:r>
      <w:r>
        <w:rPr>
          <w:rFonts w:hint="eastAsia" w:ascii="宋体" w:hAnsi="宋体" w:eastAsia="宋体" w:cs="宋体"/>
          <w:sz w:val="21"/>
          <w:szCs w:val="21"/>
        </w:rPr>
        <w:t>都不可缺少</w:t>
      </w:r>
      <w:r>
        <w:rPr>
          <w:rFonts w:hint="eastAsia" w:ascii="宋体" w:hAnsi="宋体" w:eastAsia="宋体" w:cs="宋体"/>
          <w:sz w:val="21"/>
          <w:szCs w:val="21"/>
          <w:lang w:eastAsia="zh-CN"/>
        </w:rPr>
        <w:t>。</w:t>
      </w:r>
      <w:r>
        <w:rPr>
          <w:rFonts w:hint="eastAsia" w:ascii="宋体" w:hAnsi="宋体" w:eastAsia="宋体" w:cs="宋体"/>
          <w:sz w:val="21"/>
          <w:szCs w:val="21"/>
        </w:rPr>
        <w:t>在“提升领导力需要心理资本</w:t>
      </w:r>
      <w:r>
        <w:rPr>
          <w:rFonts w:hint="eastAsia" w:ascii="宋体" w:hAnsi="宋体" w:eastAsia="宋体" w:cs="宋体"/>
          <w:sz w:val="21"/>
          <w:szCs w:val="21"/>
          <w:lang w:eastAsia="zh-CN"/>
        </w:rPr>
        <w:t>”</w:t>
      </w:r>
      <w:r>
        <w:rPr>
          <w:rFonts w:hint="eastAsia" w:ascii="宋体" w:hAnsi="宋体" w:eastAsia="宋体" w:cs="宋体"/>
          <w:sz w:val="21"/>
          <w:szCs w:val="21"/>
        </w:rPr>
        <w:t>方面，胡教授向同学们介绍了大树理论及其启示，围绕目标信仰、自尊抱负、兴趣志向等方面解释了心理资本的核心要素，并告诫同学们积聚厚实的营养资本，才能拥有旺盛的生命力。</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59264" behindDoc="0" locked="0" layoutInCell="1" allowOverlap="1">
            <wp:simplePos x="0" y="0"/>
            <wp:positionH relativeFrom="column">
              <wp:posOffset>228600</wp:posOffset>
            </wp:positionH>
            <wp:positionV relativeFrom="paragraph">
              <wp:posOffset>365760</wp:posOffset>
            </wp:positionV>
            <wp:extent cx="4813935" cy="2976245"/>
            <wp:effectExtent l="0" t="0" r="5715" b="14605"/>
            <wp:wrapTopAndBottom/>
            <wp:docPr id="2" name="图片 2" descr="/Users/teizen/Desktop/IMG_1399(20191021-1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teizen/Desktop/IMG_1399(20191021-1950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25990" cy="29836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孙立樵教授</w:t>
      </w:r>
      <w:r>
        <w:rPr>
          <w:rFonts w:hint="eastAsia" w:ascii="宋体" w:hAnsi="宋体" w:eastAsia="宋体" w:cs="宋体"/>
          <w:sz w:val="21"/>
          <w:szCs w:val="21"/>
          <w:lang w:val="en-US" w:eastAsia="zh-CN"/>
        </w:rPr>
        <w:t>则</w:t>
      </w:r>
      <w:r>
        <w:rPr>
          <w:rFonts w:hint="eastAsia" w:ascii="宋体" w:hAnsi="宋体" w:eastAsia="宋体" w:cs="宋体"/>
          <w:sz w:val="21"/>
          <w:szCs w:val="21"/>
        </w:rPr>
        <w:t>运用大量的实际案例和历史故事，深刻地向同学们解释了什么是领导角色的认知和转化。</w:t>
      </w:r>
      <w:r>
        <w:rPr>
          <w:rFonts w:hint="eastAsia" w:ascii="宋体" w:hAnsi="宋体" w:eastAsia="宋体" w:cs="宋体"/>
          <w:sz w:val="21"/>
          <w:szCs w:val="21"/>
          <w:lang w:val="en-US" w:eastAsia="zh-CN"/>
        </w:rPr>
        <w:t>孙教授讲道</w:t>
      </w:r>
      <w:r>
        <w:rPr>
          <w:rFonts w:hint="eastAsia" w:ascii="宋体" w:hAnsi="宋体" w:eastAsia="宋体" w:cs="宋体"/>
          <w:sz w:val="21"/>
          <w:szCs w:val="21"/>
        </w:rPr>
        <w:t>，领导者是一个角色集，</w:t>
      </w:r>
      <w:r>
        <w:rPr>
          <w:rFonts w:hint="eastAsia" w:ascii="宋体" w:hAnsi="宋体" w:eastAsia="宋体" w:cs="宋体"/>
          <w:sz w:val="21"/>
          <w:szCs w:val="21"/>
          <w:lang w:val="en-US" w:eastAsia="zh-CN"/>
        </w:rPr>
        <w:t>并</w:t>
      </w:r>
      <w:r>
        <w:rPr>
          <w:rFonts w:hint="eastAsia" w:ascii="宋体" w:hAnsi="宋体" w:eastAsia="宋体" w:cs="宋体"/>
          <w:sz w:val="21"/>
          <w:szCs w:val="21"/>
        </w:rPr>
        <w:t>随着环境的变化而变化。在实际领导过程中，需要从领导控制方式、领导职责、领导拉动方式、领导心理满足方式、领导工作技能和领导自我评价方式等方面</w:t>
      </w:r>
      <w:r>
        <w:rPr>
          <w:rFonts w:hint="eastAsia" w:ascii="宋体" w:hAnsi="宋体" w:eastAsia="宋体" w:cs="宋体"/>
          <w:sz w:val="21"/>
          <w:szCs w:val="21"/>
          <w:lang w:val="en-US" w:eastAsia="zh-CN"/>
        </w:rPr>
        <w:t>进行</w:t>
      </w:r>
      <w:r>
        <w:rPr>
          <w:rFonts w:hint="eastAsia" w:ascii="宋体" w:hAnsi="宋体" w:eastAsia="宋体" w:cs="宋体"/>
          <w:sz w:val="21"/>
          <w:szCs w:val="21"/>
        </w:rPr>
        <w:t>转变，</w:t>
      </w:r>
      <w:r>
        <w:rPr>
          <w:rFonts w:hint="eastAsia" w:ascii="宋体" w:hAnsi="宋体" w:eastAsia="宋体" w:cs="宋体"/>
          <w:sz w:val="21"/>
          <w:szCs w:val="21"/>
          <w:lang w:val="en-US" w:eastAsia="zh-CN"/>
        </w:rPr>
        <w:t>最终</w:t>
      </w:r>
      <w:r>
        <w:rPr>
          <w:rFonts w:hint="eastAsia" w:ascii="宋体" w:hAnsi="宋体" w:eastAsia="宋体" w:cs="宋体"/>
          <w:sz w:val="21"/>
          <w:szCs w:val="21"/>
        </w:rPr>
        <w:t>实现领导角色的转化。</w:t>
      </w:r>
    </w:p>
    <w:p>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0288" behindDoc="0" locked="0" layoutInCell="1" allowOverlap="1">
            <wp:simplePos x="0" y="0"/>
            <wp:positionH relativeFrom="column">
              <wp:posOffset>219075</wp:posOffset>
            </wp:positionH>
            <wp:positionV relativeFrom="paragraph">
              <wp:posOffset>168275</wp:posOffset>
            </wp:positionV>
            <wp:extent cx="4845685" cy="3006725"/>
            <wp:effectExtent l="0" t="0" r="12065" b="3175"/>
            <wp:wrapTopAndBottom/>
            <wp:docPr id="3" name="图片 3" descr="/Users/teizen/Desktop/IMG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teizen/Desktop/IMG_1421.JPG"/>
                    <pic:cNvPicPr>
                      <a:picLocks noChangeAspect="1" noChangeArrowheads="1"/>
                    </pic:cNvPicPr>
                  </pic:nvPicPr>
                  <pic:blipFill>
                    <a:blip r:embed="rId6">
                      <a:extLst>
                        <a:ext uri="{28A0092B-C50C-407E-A947-70E740481C1C}">
                          <a14:useLocalDpi xmlns:a14="http://schemas.microsoft.com/office/drawing/2010/main" val="0"/>
                        </a:ext>
                      </a:extLst>
                    </a:blip>
                    <a:srcRect t="14376"/>
                    <a:stretch>
                      <a:fillRect/>
                    </a:stretch>
                  </pic:blipFill>
                  <pic:spPr>
                    <a:xfrm>
                      <a:off x="0" y="0"/>
                      <a:ext cx="4931029" cy="3006725"/>
                    </a:xfrm>
                    <a:prstGeom prst="rect">
                      <a:avLst/>
                    </a:prstGeom>
                    <a:noFill/>
                    <a:ln>
                      <a:noFill/>
                    </a:ln>
                  </pic:spPr>
                </pic:pic>
              </a:graphicData>
            </a:graphic>
          </wp:anchor>
        </w:drawing>
      </w:r>
    </w:p>
    <w:p>
      <w:pPr>
        <w:ind w:firstLine="480"/>
        <w:jc w:val="center"/>
        <w:rPr>
          <w:rFonts w:hint="eastAsia" w:ascii="宋体" w:hAnsi="宋体" w:eastAsia="宋体" w:cs="宋体"/>
          <w:sz w:val="21"/>
          <w:szCs w:val="21"/>
        </w:rPr>
      </w:pPr>
    </w:p>
    <w:p>
      <w:pPr>
        <w:ind w:firstLine="480"/>
        <w:jc w:val="center"/>
        <w:rPr>
          <w:rFonts w:hint="eastAsia" w:ascii="宋体" w:hAnsi="宋体" w:eastAsia="宋体" w:cs="宋体"/>
          <w:sz w:val="21"/>
          <w:szCs w:val="21"/>
        </w:rPr>
      </w:pPr>
    </w:p>
    <w:p>
      <w:pPr>
        <w:ind w:firstLine="480"/>
        <w:jc w:val="cente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“人才测评的发展与前沿”讲座由萧鸣政教授主讲。会议伊始，</w:t>
      </w:r>
      <w:r>
        <w:rPr>
          <w:rFonts w:hint="eastAsia" w:ascii="宋体" w:hAnsi="宋体" w:eastAsia="宋体" w:cs="宋体"/>
          <w:sz w:val="21"/>
          <w:szCs w:val="21"/>
          <w:lang w:val="en-US" w:eastAsia="zh-CN"/>
        </w:rPr>
        <w:t>张广科副院长</w:t>
      </w:r>
      <w:r>
        <w:rPr>
          <w:rFonts w:hint="eastAsia" w:ascii="宋体" w:hAnsi="宋体" w:eastAsia="宋体" w:cs="宋体"/>
          <w:sz w:val="21"/>
          <w:szCs w:val="21"/>
        </w:rPr>
        <w:t>为萧教授颁发聘书，聘请萧鸣政</w:t>
      </w:r>
      <w:r>
        <w:rPr>
          <w:rFonts w:hint="eastAsia" w:ascii="宋体" w:hAnsi="宋体" w:eastAsia="宋体" w:cs="宋体"/>
          <w:sz w:val="21"/>
          <w:szCs w:val="21"/>
          <w:lang w:val="en-US" w:eastAsia="zh-CN"/>
        </w:rPr>
        <w:t>教授</w:t>
      </w:r>
      <w:r>
        <w:rPr>
          <w:rFonts w:hint="eastAsia" w:ascii="宋体" w:hAnsi="宋体" w:eastAsia="宋体" w:cs="宋体"/>
          <w:sz w:val="21"/>
          <w:szCs w:val="21"/>
        </w:rPr>
        <w:t>为我校兼职教授。</w:t>
      </w:r>
      <w:r>
        <w:rPr>
          <w:rFonts w:hint="eastAsia" w:ascii="宋体" w:hAnsi="宋体" w:eastAsia="宋体" w:cs="宋体"/>
          <w:sz w:val="21"/>
          <w:szCs w:val="21"/>
          <w:lang w:val="en-US" w:eastAsia="zh-CN"/>
        </w:rPr>
        <w:t>讲座中，</w:t>
      </w:r>
      <w:r>
        <w:rPr>
          <w:rFonts w:hint="eastAsia" w:ascii="宋体" w:hAnsi="宋体" w:eastAsia="宋体" w:cs="宋体"/>
          <w:sz w:val="21"/>
          <w:szCs w:val="21"/>
        </w:rPr>
        <w:t>萧教授</w:t>
      </w:r>
      <w:r>
        <w:rPr>
          <w:rFonts w:hint="eastAsia" w:ascii="宋体" w:hAnsi="宋体" w:eastAsia="宋体" w:cs="宋体"/>
          <w:sz w:val="21"/>
          <w:szCs w:val="21"/>
          <w:lang w:val="en-US" w:eastAsia="zh-CN"/>
        </w:rPr>
        <w:t>主要</w:t>
      </w:r>
      <w:r>
        <w:rPr>
          <w:rFonts w:hint="eastAsia" w:ascii="宋体" w:hAnsi="宋体" w:eastAsia="宋体" w:cs="宋体"/>
          <w:sz w:val="21"/>
          <w:szCs w:val="21"/>
        </w:rPr>
        <w:t>围绕国家人才战略展开</w:t>
      </w:r>
      <w:r>
        <w:rPr>
          <w:rFonts w:hint="eastAsia" w:ascii="宋体" w:hAnsi="宋体" w:eastAsia="宋体" w:cs="宋体"/>
          <w:sz w:val="21"/>
          <w:szCs w:val="21"/>
          <w:lang w:val="en-US" w:eastAsia="zh-CN"/>
        </w:rPr>
        <w:t>讲解</w:t>
      </w:r>
      <w:r>
        <w:rPr>
          <w:rFonts w:hint="eastAsia" w:ascii="宋体" w:hAnsi="宋体" w:eastAsia="宋体" w:cs="宋体"/>
          <w:sz w:val="21"/>
          <w:szCs w:val="21"/>
        </w:rPr>
        <w:t>。他指出，当今世界多极化趋势曲折发展，经济全球化不断深入，人才资源成为最重要的资源，人才在综合国力竞争中具有决定性意义</w:t>
      </w:r>
      <w:r>
        <w:rPr>
          <w:rFonts w:hint="eastAsia" w:ascii="宋体" w:hAnsi="宋体" w:eastAsia="宋体" w:cs="宋体"/>
          <w:sz w:val="21"/>
          <w:szCs w:val="21"/>
          <w:lang w:eastAsia="zh-CN"/>
        </w:rPr>
        <w:t>，</w:t>
      </w:r>
      <w:r>
        <w:rPr>
          <w:rFonts w:hint="eastAsia" w:ascii="宋体" w:hAnsi="宋体" w:eastAsia="宋体" w:cs="宋体"/>
          <w:sz w:val="21"/>
          <w:szCs w:val="21"/>
        </w:rPr>
        <w:t>因此必须把人才工作纳入国家经济和社会发展的总体规划，大力开发人才资源，走人才强国之路。</w:t>
      </w:r>
      <w:r>
        <w:rPr>
          <w:rFonts w:hint="eastAsia" w:ascii="宋体" w:hAnsi="宋体" w:eastAsia="宋体" w:cs="宋体"/>
          <w:sz w:val="21"/>
          <w:szCs w:val="21"/>
          <w:lang w:val="en-US" w:eastAsia="zh-CN"/>
        </w:rPr>
        <w:t>接着</w:t>
      </w:r>
      <w:r>
        <w:rPr>
          <w:rFonts w:hint="eastAsia" w:ascii="宋体" w:hAnsi="宋体" w:eastAsia="宋体" w:cs="宋体"/>
          <w:sz w:val="21"/>
          <w:szCs w:val="21"/>
        </w:rPr>
        <w:t>，萧教授分别</w:t>
      </w:r>
      <w:r>
        <w:rPr>
          <w:rFonts w:hint="eastAsia" w:ascii="宋体" w:hAnsi="宋体" w:eastAsia="宋体" w:cs="宋体"/>
          <w:sz w:val="21"/>
          <w:szCs w:val="21"/>
          <w:lang w:val="en-US" w:eastAsia="zh-CN"/>
        </w:rPr>
        <w:t>以</w:t>
      </w:r>
      <w:r>
        <w:rPr>
          <w:rFonts w:hint="eastAsia" w:ascii="宋体" w:hAnsi="宋体" w:eastAsia="宋体" w:cs="宋体"/>
          <w:sz w:val="21"/>
          <w:szCs w:val="21"/>
        </w:rPr>
        <w:t>工具论和标准论</w:t>
      </w:r>
      <w:r>
        <w:rPr>
          <w:rFonts w:hint="eastAsia" w:ascii="宋体" w:hAnsi="宋体" w:eastAsia="宋体" w:cs="宋体"/>
          <w:sz w:val="21"/>
          <w:szCs w:val="21"/>
          <w:lang w:val="en-US" w:eastAsia="zh-CN"/>
        </w:rPr>
        <w:t>出发</w:t>
      </w:r>
      <w:r>
        <w:rPr>
          <w:rFonts w:hint="eastAsia" w:ascii="宋体" w:hAnsi="宋体" w:eastAsia="宋体" w:cs="宋体"/>
          <w:sz w:val="21"/>
          <w:szCs w:val="21"/>
        </w:rPr>
        <w:t>，对人才强国作出两种解释，</w:t>
      </w:r>
      <w:r>
        <w:rPr>
          <w:rFonts w:hint="eastAsia" w:ascii="宋体" w:hAnsi="宋体" w:eastAsia="宋体" w:cs="宋体"/>
          <w:sz w:val="21"/>
          <w:szCs w:val="21"/>
          <w:lang w:val="en-US" w:eastAsia="zh-CN"/>
        </w:rPr>
        <w:t>指出若</w:t>
      </w:r>
      <w:r>
        <w:rPr>
          <w:rFonts w:hint="eastAsia" w:ascii="宋体" w:hAnsi="宋体" w:eastAsia="宋体" w:cs="宋体"/>
          <w:sz w:val="21"/>
          <w:szCs w:val="21"/>
        </w:rPr>
        <w:t>国家在人才总量、人才结构、人才质量等方面进入世界前</w:t>
      </w:r>
      <w:r>
        <w:rPr>
          <w:rFonts w:hint="eastAsia" w:ascii="宋体" w:hAnsi="宋体" w:eastAsia="宋体" w:cs="宋体"/>
          <w:sz w:val="21"/>
          <w:szCs w:val="21"/>
        </w:rPr>
        <w:t>20</w:t>
      </w:r>
      <w:r>
        <w:rPr>
          <w:rFonts w:hint="eastAsia" w:ascii="宋体" w:hAnsi="宋体" w:eastAsia="宋体" w:cs="宋体"/>
          <w:sz w:val="21"/>
          <w:szCs w:val="21"/>
        </w:rPr>
        <w:t>名，则是人才强国。最后，萧教授总结了最近几年国家关于推进人才强国战略实施的政策措施，</w:t>
      </w:r>
      <w:r>
        <w:rPr>
          <w:rFonts w:hint="eastAsia" w:ascii="宋体" w:hAnsi="宋体" w:eastAsia="宋体" w:cs="宋体"/>
          <w:sz w:val="21"/>
          <w:szCs w:val="21"/>
          <w:lang w:val="en-US" w:eastAsia="zh-CN"/>
        </w:rPr>
        <w:t>并</w:t>
      </w:r>
      <w:r>
        <w:rPr>
          <w:rFonts w:hint="eastAsia" w:ascii="宋体" w:hAnsi="宋体" w:eastAsia="宋体" w:cs="宋体"/>
          <w:sz w:val="21"/>
          <w:szCs w:val="21"/>
        </w:rPr>
        <w:t>强调通过各项政策措施可实现人人渴望成才，人人努力成才、人人皆可成才、人人尽展其才的局面。</w:t>
      </w:r>
    </w:p>
    <w:p>
      <w:pPr>
        <w:rPr>
          <w:rFonts w:hint="eastAsia" w:ascii="宋体" w:hAnsi="宋体" w:eastAsia="宋体" w:cs="宋体"/>
          <w:sz w:val="21"/>
          <w:szCs w:val="21"/>
        </w:rPr>
      </w:pPr>
    </w:p>
    <w:p>
      <w:pPr>
        <w:ind w:firstLine="480"/>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2336" behindDoc="0" locked="0" layoutInCell="1" allowOverlap="1">
            <wp:simplePos x="0" y="0"/>
            <wp:positionH relativeFrom="column">
              <wp:posOffset>2838450</wp:posOffset>
            </wp:positionH>
            <wp:positionV relativeFrom="paragraph">
              <wp:posOffset>255905</wp:posOffset>
            </wp:positionV>
            <wp:extent cx="2796540" cy="1812925"/>
            <wp:effectExtent l="0" t="0" r="3810" b="15875"/>
            <wp:wrapNone/>
            <wp:docPr id="6" name="图片 6" descr="/Users/teizen/Desktop/WechatIMG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teizen/Desktop/WechatIMG9.jpeg"/>
                    <pic:cNvPicPr>
                      <a:picLocks noChangeAspect="1" noChangeArrowheads="1"/>
                    </pic:cNvPicPr>
                  </pic:nvPicPr>
                  <pic:blipFill>
                    <a:blip r:embed="rId7">
                      <a:extLst>
                        <a:ext uri="{28A0092B-C50C-407E-A947-70E740481C1C}">
                          <a14:useLocalDpi xmlns:a14="http://schemas.microsoft.com/office/drawing/2010/main" val="0"/>
                        </a:ext>
                      </a:extLst>
                    </a:blip>
                    <a:srcRect t="8712" b="4599"/>
                    <a:stretch>
                      <a:fillRect/>
                    </a:stretch>
                  </pic:blipFill>
                  <pic:spPr>
                    <a:xfrm>
                      <a:off x="0" y="0"/>
                      <a:ext cx="2796540" cy="1812925"/>
                    </a:xfrm>
                    <a:prstGeom prst="rect">
                      <a:avLst/>
                    </a:prstGeom>
                    <a:noFill/>
                    <a:ln>
                      <a:noFill/>
                    </a:ln>
                  </pic:spPr>
                </pic:pic>
              </a:graphicData>
            </a:graphic>
          </wp:anchor>
        </w:drawing>
      </w:r>
      <w:r>
        <w:rPr>
          <w:rFonts w:hint="eastAsia" w:ascii="宋体" w:hAnsi="宋体" w:eastAsia="宋体" w:cs="宋体"/>
          <w:sz w:val="21"/>
          <w:szCs w:val="21"/>
        </w:rPr>
        <w:drawing>
          <wp:anchor distT="0" distB="0" distL="0" distR="0" simplePos="0" relativeHeight="251661312" behindDoc="0" locked="0" layoutInCell="1" allowOverlap="1">
            <wp:simplePos x="0" y="0"/>
            <wp:positionH relativeFrom="column">
              <wp:posOffset>-86360</wp:posOffset>
            </wp:positionH>
            <wp:positionV relativeFrom="paragraph">
              <wp:posOffset>251460</wp:posOffset>
            </wp:positionV>
            <wp:extent cx="2903855" cy="1805940"/>
            <wp:effectExtent l="0" t="0" r="10795" b="3810"/>
            <wp:wrapNone/>
            <wp:docPr id="5" name="图片 5" descr="WechatIMG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11.jpeg"/>
                    <pic:cNvPicPr>
                      <a:picLocks noChangeAspect="1" noChangeArrowheads="1"/>
                    </pic:cNvPicPr>
                  </pic:nvPicPr>
                  <pic:blipFill>
                    <a:blip r:embed="rId8">
                      <a:extLst>
                        <a:ext uri="{28A0092B-C50C-407E-A947-70E740481C1C}">
                          <a14:useLocalDpi xmlns:a14="http://schemas.microsoft.com/office/drawing/2010/main" val="0"/>
                        </a:ext>
                      </a:extLst>
                    </a:blip>
                    <a:srcRect t="9461" b="6217"/>
                    <a:stretch>
                      <a:fillRect/>
                    </a:stretch>
                  </pic:blipFill>
                  <pic:spPr>
                    <a:xfrm>
                      <a:off x="0" y="0"/>
                      <a:ext cx="2903855" cy="1805940"/>
                    </a:xfrm>
                    <a:prstGeom prst="rect">
                      <a:avLst/>
                    </a:prstGeom>
                    <a:noFill/>
                    <a:ln>
                      <a:noFill/>
                    </a:ln>
                  </pic:spPr>
                </pic:pic>
              </a:graphicData>
            </a:graphic>
          </wp:anchor>
        </w:drawing>
      </w:r>
    </w:p>
    <w:p>
      <w:pPr>
        <w:ind w:firstLine="480"/>
        <w:rPr>
          <w:rFonts w:hint="eastAsia" w:ascii="宋体" w:hAnsi="宋体" w:eastAsia="宋体" w:cs="宋体"/>
          <w:sz w:val="21"/>
          <w:szCs w:val="21"/>
        </w:rPr>
      </w:pPr>
    </w:p>
    <w:p>
      <w:pPr>
        <w:ind w:firstLine="480"/>
        <w:rPr>
          <w:rFonts w:hint="eastAsia" w:ascii="宋体" w:hAnsi="宋体" w:eastAsia="宋体" w:cs="宋体"/>
          <w:sz w:val="21"/>
          <w:szCs w:val="21"/>
        </w:rPr>
      </w:pPr>
    </w:p>
    <w:p>
      <w:pPr>
        <w:ind w:firstLine="480"/>
        <w:rPr>
          <w:rFonts w:hint="eastAsia" w:ascii="宋体" w:hAnsi="宋体" w:eastAsia="宋体" w:cs="宋体"/>
          <w:sz w:val="21"/>
          <w:szCs w:val="21"/>
        </w:rPr>
      </w:pPr>
    </w:p>
    <w:p>
      <w:pPr>
        <w:ind w:firstLine="480"/>
        <w:rPr>
          <w:rFonts w:hint="eastAsia" w:ascii="宋体" w:hAnsi="宋体" w:eastAsia="宋体" w:cs="宋体"/>
          <w:sz w:val="21"/>
          <w:szCs w:val="21"/>
        </w:rPr>
      </w:pPr>
    </w:p>
    <w:p>
      <w:pPr>
        <w:ind w:firstLine="480"/>
        <w:rPr>
          <w:rFonts w:hint="eastAsia" w:ascii="宋体" w:hAnsi="宋体" w:eastAsia="宋体" w:cs="宋体"/>
          <w:sz w:val="21"/>
          <w:szCs w:val="21"/>
        </w:rPr>
      </w:pPr>
    </w:p>
    <w:p>
      <w:pPr>
        <w:ind w:firstLine="480"/>
        <w:rPr>
          <w:rFonts w:hint="eastAsia" w:ascii="宋体" w:hAnsi="宋体" w:eastAsia="宋体" w:cs="宋体"/>
          <w:sz w:val="21"/>
          <w:szCs w:val="21"/>
        </w:rPr>
      </w:pPr>
    </w:p>
    <w:p>
      <w:pPr>
        <w:ind w:firstLine="480"/>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两次讲座获得了同学们</w:t>
      </w:r>
      <w:r>
        <w:rPr>
          <w:rFonts w:hint="eastAsia" w:ascii="宋体" w:hAnsi="宋体" w:eastAsia="宋体" w:cs="宋体"/>
          <w:sz w:val="21"/>
          <w:szCs w:val="21"/>
          <w:lang w:val="en-US" w:eastAsia="zh-CN"/>
        </w:rPr>
        <w:t>的</w:t>
      </w:r>
      <w:r>
        <w:rPr>
          <w:rFonts w:hint="eastAsia" w:ascii="宋体" w:hAnsi="宋体" w:eastAsia="宋体" w:cs="宋体"/>
          <w:sz w:val="21"/>
          <w:szCs w:val="21"/>
        </w:rPr>
        <w:t>热烈掌声和积极回应，同学们在</w:t>
      </w:r>
      <w:r>
        <w:rPr>
          <w:rFonts w:hint="eastAsia" w:ascii="宋体" w:hAnsi="宋体" w:eastAsia="宋体" w:cs="宋体"/>
          <w:sz w:val="21"/>
          <w:szCs w:val="21"/>
          <w:lang w:val="en-US" w:eastAsia="zh-CN"/>
        </w:rPr>
        <w:t>三位</w:t>
      </w:r>
      <w:r>
        <w:rPr>
          <w:rFonts w:hint="eastAsia" w:ascii="宋体" w:hAnsi="宋体" w:eastAsia="宋体" w:cs="宋体"/>
          <w:sz w:val="21"/>
          <w:szCs w:val="21"/>
        </w:rPr>
        <w:t>教授旁征博引、妙趣横生的发言中，对领导力和国家人才战略有了更进一步的了解</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讲座圆满结束。</w:t>
      </w:r>
      <w:bookmarkStart w:id="0" w:name="_GoBack"/>
      <w:bookmarkEnd w:id="0"/>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3360" behindDoc="0" locked="0" layoutInCell="1" allowOverlap="1">
            <wp:simplePos x="0" y="0"/>
            <wp:positionH relativeFrom="column">
              <wp:posOffset>-123825</wp:posOffset>
            </wp:positionH>
            <wp:positionV relativeFrom="paragraph">
              <wp:posOffset>30480</wp:posOffset>
            </wp:positionV>
            <wp:extent cx="2901315" cy="1812290"/>
            <wp:effectExtent l="0" t="0" r="13335" b="16510"/>
            <wp:wrapNone/>
            <wp:docPr id="7" name="图片 7" descr="WechatIMG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13.jpeg"/>
                    <pic:cNvPicPr>
                      <a:picLocks noChangeAspect="1" noChangeArrowheads="1"/>
                    </pic:cNvPicPr>
                  </pic:nvPicPr>
                  <pic:blipFill>
                    <a:blip r:embed="rId9">
                      <a:extLst>
                        <a:ext uri="{28A0092B-C50C-407E-A947-70E740481C1C}">
                          <a14:useLocalDpi xmlns:a14="http://schemas.microsoft.com/office/drawing/2010/main" val="0"/>
                        </a:ext>
                      </a:extLst>
                    </a:blip>
                    <a:srcRect t="16661"/>
                    <a:stretch>
                      <a:fillRect/>
                    </a:stretch>
                  </pic:blipFill>
                  <pic:spPr>
                    <a:xfrm>
                      <a:off x="0" y="0"/>
                      <a:ext cx="2901315" cy="1812290"/>
                    </a:xfrm>
                    <a:prstGeom prst="rect">
                      <a:avLst/>
                    </a:prstGeom>
                    <a:noFill/>
                    <a:ln>
                      <a:noFill/>
                    </a:ln>
                  </pic:spPr>
                </pic:pic>
              </a:graphicData>
            </a:graphic>
          </wp:anchor>
        </w:drawing>
      </w:r>
      <w:r>
        <w:rPr>
          <w:rFonts w:hint="eastAsia" w:ascii="宋体" w:hAnsi="宋体" w:eastAsia="宋体" w:cs="宋体"/>
          <w:sz w:val="21"/>
          <w:szCs w:val="21"/>
        </w:rPr>
        <w:drawing>
          <wp:anchor distT="0" distB="0" distL="0" distR="0" simplePos="0" relativeHeight="251664384" behindDoc="0" locked="0" layoutInCell="1" allowOverlap="1">
            <wp:simplePos x="0" y="0"/>
            <wp:positionH relativeFrom="column">
              <wp:posOffset>2800350</wp:posOffset>
            </wp:positionH>
            <wp:positionV relativeFrom="paragraph">
              <wp:posOffset>15875</wp:posOffset>
            </wp:positionV>
            <wp:extent cx="2887345" cy="1821815"/>
            <wp:effectExtent l="0" t="0" r="8255" b="6985"/>
            <wp:wrapNone/>
            <wp:docPr id="8" name="图片 8" descr="WechatIMG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12.jpeg"/>
                    <pic:cNvPicPr>
                      <a:picLocks noChangeAspect="1" noChangeArrowheads="1"/>
                    </pic:cNvPicPr>
                  </pic:nvPicPr>
                  <pic:blipFill>
                    <a:blip r:embed="rId10">
                      <a:extLst>
                        <a:ext uri="{28A0092B-C50C-407E-A947-70E740481C1C}">
                          <a14:useLocalDpi xmlns:a14="http://schemas.microsoft.com/office/drawing/2010/main" val="0"/>
                        </a:ext>
                      </a:extLst>
                    </a:blip>
                    <a:srcRect l="6914" t="7425" b="12873"/>
                    <a:stretch>
                      <a:fillRect/>
                    </a:stretch>
                  </pic:blipFill>
                  <pic:spPr>
                    <a:xfrm>
                      <a:off x="0" y="0"/>
                      <a:ext cx="2887345" cy="1821815"/>
                    </a:xfrm>
                    <a:prstGeom prst="rect">
                      <a:avLst/>
                    </a:prstGeom>
                    <a:noFill/>
                    <a:ln>
                      <a:noFill/>
                    </a:ln>
                  </pic:spPr>
                </pic:pic>
              </a:graphicData>
            </a:graphic>
          </wp:anchor>
        </w:drawing>
      </w:r>
    </w:p>
    <w:p>
      <w:pPr>
        <w:rPr>
          <w:rFonts w:hint="eastAsia" w:ascii="宋体" w:hAnsi="宋体" w:eastAsia="宋体" w:cs="宋体"/>
          <w:sz w:val="21"/>
          <w:szCs w:val="21"/>
        </w:rPr>
      </w:pPr>
      <w:r>
        <w:rPr>
          <w:rFonts w:hint="eastAsia" w:ascii="宋体" w:hAnsi="宋体" w:eastAsia="宋体" w:cs="宋体"/>
          <w:sz w:val="21"/>
          <w:szCs w:val="21"/>
        </w:rPr>
        <w:tab/>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10102FF" w:usb1="38CF7CFA" w:usb2="0001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E43"/>
    <w:rsid w:val="0004386F"/>
    <w:rsid w:val="000B0667"/>
    <w:rsid w:val="00220617"/>
    <w:rsid w:val="002A1F8A"/>
    <w:rsid w:val="002C4323"/>
    <w:rsid w:val="00314E40"/>
    <w:rsid w:val="003F48B2"/>
    <w:rsid w:val="004809FE"/>
    <w:rsid w:val="00565163"/>
    <w:rsid w:val="006058F2"/>
    <w:rsid w:val="00640CCD"/>
    <w:rsid w:val="00652279"/>
    <w:rsid w:val="006A0C62"/>
    <w:rsid w:val="006A25CE"/>
    <w:rsid w:val="00754EB8"/>
    <w:rsid w:val="007849E0"/>
    <w:rsid w:val="007D184C"/>
    <w:rsid w:val="008119DD"/>
    <w:rsid w:val="00817A40"/>
    <w:rsid w:val="00876A49"/>
    <w:rsid w:val="00881B39"/>
    <w:rsid w:val="00914254"/>
    <w:rsid w:val="0094375F"/>
    <w:rsid w:val="00960F96"/>
    <w:rsid w:val="0096715C"/>
    <w:rsid w:val="00980A4B"/>
    <w:rsid w:val="009D2F0E"/>
    <w:rsid w:val="00A15E1C"/>
    <w:rsid w:val="00B60222"/>
    <w:rsid w:val="00BB02EA"/>
    <w:rsid w:val="00CE0D73"/>
    <w:rsid w:val="00E10D27"/>
    <w:rsid w:val="00E10E43"/>
    <w:rsid w:val="00E60BE2"/>
    <w:rsid w:val="00EA097A"/>
    <w:rsid w:val="00EC64E4"/>
    <w:rsid w:val="00EF02A3"/>
    <w:rsid w:val="00F911B0"/>
    <w:rsid w:val="00FB562E"/>
    <w:rsid w:val="03B058BB"/>
    <w:rsid w:val="08693B3C"/>
    <w:rsid w:val="2AF40319"/>
    <w:rsid w:val="48DA75CC"/>
    <w:rsid w:val="57A36671"/>
    <w:rsid w:val="5BC70FF2"/>
    <w:rsid w:val="7FA05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173</Words>
  <Characters>991</Characters>
  <Lines>8</Lines>
  <Paragraphs>2</Paragraphs>
  <TotalTime>4</TotalTime>
  <ScaleCrop>false</ScaleCrop>
  <LinksUpToDate>false</LinksUpToDate>
  <CharactersWithSpaces>1162</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2019-10-22T07:44:00Z</dcterms:created>
  <dc:creator>Microsoft Office User</dc:creator>
  <cp:lastModifiedBy>haechanmummy</cp:lastModifiedBy>
  <dcterms:modified xsi:type="dcterms:W3CDTF">2019-10-23T07:49:30Z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